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7AC78A26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C45C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ACC2C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540BCFA9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3CAC2DC5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642A69F9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4A305EA8" w14:textId="68E49E92" w:rsidR="00471C91" w:rsidRPr="00AC525F" w:rsidRDefault="00893A1A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ПРИВАТНЕ АКЦIОНЕРНЕ ТОВАРИСТВО "ГЛИНИ ДОНБАСУ"</w:t>
            </w:r>
          </w:p>
        </w:tc>
      </w:tr>
      <w:tr w:rsidR="00471C91" w14:paraId="1FF91664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464B722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16D261A8" w14:textId="2939F39D" w:rsidR="00471C91" w:rsidRPr="0005596A" w:rsidRDefault="00893A1A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23354002</w:t>
            </w:r>
          </w:p>
        </w:tc>
      </w:tr>
      <w:tr w:rsidR="00471C91" w14:paraId="45EC9BE0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1DCC230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7D126654" w14:textId="48E675D1" w:rsidR="00471C91" w:rsidRPr="0005596A" w:rsidRDefault="006E3827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val="uk-UA" w:eastAsia="uk"/>
              </w:rPr>
              <w:t>1</w:t>
            </w:r>
            <w:r w:rsidR="00893A1A">
              <w:rPr>
                <w:rStyle w:val="spanrvts0"/>
                <w:lang w:eastAsia="uk"/>
              </w:rPr>
              <w:t>2.12.2024</w:t>
            </w:r>
          </w:p>
        </w:tc>
      </w:tr>
      <w:tr w:rsidR="000C77DA" w:rsidRPr="0005596A" w14:paraId="36F593C2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124C7DA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B13CA1E" w14:textId="09854EE1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893A1A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893A1A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DA528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14F5DB95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127E480F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6324EE6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30983BA" w14:textId="47145AEE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893A1A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893A1A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F5CEC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7B6CA837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015F4AB2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19F2784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1BBB20C" w14:textId="3BAABC5E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893A1A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893A1A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893A1A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2797" w14:textId="1DB0E630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893A1A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167DADCC" w14:textId="77777777" w:rsidR="00893A1A" w:rsidRDefault="00EF5DC4" w:rsidP="003A01DC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</w:p>
          <w:p w14:paraId="72BD8C4B" w14:textId="6E812D1E" w:rsidR="00EF5DC4" w:rsidRDefault="00893A1A" w:rsidP="003A01DC">
            <w:pPr>
              <w:pStyle w:val="rvps14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u w:val="single"/>
                <w:lang w:eastAsia="uk"/>
              </w:rPr>
              <w:t>Особлива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інформація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: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Відомості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про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зміну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складу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посадових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осіб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емітента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від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02.12.2024</w:t>
            </w:r>
          </w:p>
          <w:p w14:paraId="6CBBFB2D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029FD6C7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48FF3349" w14:textId="3E108D70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  <w:r w:rsidR="00893A1A">
              <w:rPr>
                <w:rStyle w:val="spanrvts0"/>
                <w:u w:val="single"/>
                <w:lang w:eastAsia="uk"/>
              </w:rPr>
              <w:t xml:space="preserve"> </w:t>
            </w:r>
          </w:p>
        </w:tc>
      </w:tr>
      <w:tr w:rsidR="00471C91" w:rsidRPr="00471C91" w14:paraId="4C56D83F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FC14A9B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75580222" w14:textId="7EB2B69C" w:rsidR="00471C91" w:rsidRPr="00471C91" w:rsidRDefault="00893A1A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02.12.2024</w:t>
            </w:r>
          </w:p>
        </w:tc>
      </w:tr>
      <w:tr w:rsidR="00471C91" w:rsidRPr="00471C91" w14:paraId="445681AD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AB2D981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58466256" w14:textId="77777777" w:rsidR="00893A1A" w:rsidRDefault="00893A1A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Товариством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було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ненавмисно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допущено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несвоєчасне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розкриття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особливої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через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непорозуміння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відсутність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належної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узгодженості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між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структурними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підрозділами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Зокрема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дата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видання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наказу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звільнення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Головного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бухгалтера</w:t>
            </w:r>
            <w:proofErr w:type="spellEnd"/>
            <w:r>
              <w:rPr>
                <w:rStyle w:val="spanrvts0"/>
                <w:lang w:eastAsia="uk"/>
              </w:rPr>
              <w:t xml:space="preserve"> (02.12.2024) </w:t>
            </w:r>
            <w:proofErr w:type="spellStart"/>
            <w:r>
              <w:rPr>
                <w:rStyle w:val="spanrvts0"/>
                <w:lang w:eastAsia="uk"/>
              </w:rPr>
              <w:t>не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співпадала</w:t>
            </w:r>
            <w:proofErr w:type="spellEnd"/>
            <w:r>
              <w:rPr>
                <w:rStyle w:val="spanrvts0"/>
                <w:lang w:eastAsia="uk"/>
              </w:rPr>
              <w:t xml:space="preserve"> з </w:t>
            </w:r>
            <w:proofErr w:type="spellStart"/>
            <w:r>
              <w:rPr>
                <w:rStyle w:val="spanrvts0"/>
                <w:lang w:eastAsia="uk"/>
              </w:rPr>
              <w:t>фактичною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датою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звільнення</w:t>
            </w:r>
            <w:proofErr w:type="spellEnd"/>
            <w:r>
              <w:rPr>
                <w:rStyle w:val="spanrvts0"/>
                <w:lang w:eastAsia="uk"/>
              </w:rPr>
              <w:t xml:space="preserve"> (06.12.2024), </w:t>
            </w:r>
            <w:proofErr w:type="spellStart"/>
            <w:r>
              <w:rPr>
                <w:rStyle w:val="spanrvts0"/>
                <w:lang w:eastAsia="uk"/>
              </w:rPr>
              <w:t>що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спричинило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плутанину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затримку</w:t>
            </w:r>
            <w:proofErr w:type="spellEnd"/>
            <w:r>
              <w:rPr>
                <w:rStyle w:val="spanrvts0"/>
                <w:lang w:eastAsia="uk"/>
              </w:rPr>
              <w:t xml:space="preserve"> в </w:t>
            </w:r>
            <w:proofErr w:type="spellStart"/>
            <w:r>
              <w:rPr>
                <w:rStyle w:val="spanrvts0"/>
                <w:lang w:eastAsia="uk"/>
              </w:rPr>
              <w:t>обробці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відповідних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даних</w:t>
            </w:r>
            <w:proofErr w:type="spellEnd"/>
            <w:r>
              <w:rPr>
                <w:rStyle w:val="spanrvts0"/>
                <w:lang w:eastAsia="uk"/>
              </w:rPr>
              <w:t>.</w:t>
            </w:r>
          </w:p>
          <w:p w14:paraId="32BDB32D" w14:textId="77777777" w:rsidR="00893A1A" w:rsidRDefault="00893A1A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Крім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того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особлива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щодо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призначення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нового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Головного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бухгалтера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була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відкладена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моменту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з'ясування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всіх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обставин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що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також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негативно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вплинуло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строки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розкриття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>.</w:t>
            </w:r>
          </w:p>
          <w:p w14:paraId="14CE3994" w14:textId="77777777" w:rsidR="00893A1A" w:rsidRDefault="00893A1A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Товариством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уже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зроблено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висновки</w:t>
            </w:r>
            <w:proofErr w:type="spellEnd"/>
            <w:r>
              <w:rPr>
                <w:rStyle w:val="spanrvts0"/>
                <w:lang w:eastAsia="uk"/>
              </w:rPr>
              <w:t xml:space="preserve"> з </w:t>
            </w:r>
            <w:proofErr w:type="spellStart"/>
            <w:r>
              <w:rPr>
                <w:rStyle w:val="spanrvts0"/>
                <w:lang w:eastAsia="uk"/>
              </w:rPr>
              <w:t>цієї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ситуації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впроваджено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заходи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для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запобігання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подібним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випадкам</w:t>
            </w:r>
            <w:proofErr w:type="spellEnd"/>
            <w:r>
              <w:rPr>
                <w:rStyle w:val="spanrvts0"/>
                <w:lang w:eastAsia="uk"/>
              </w:rPr>
              <w:t xml:space="preserve"> у </w:t>
            </w:r>
            <w:proofErr w:type="spellStart"/>
            <w:r>
              <w:rPr>
                <w:rStyle w:val="spanrvts0"/>
                <w:lang w:eastAsia="uk"/>
              </w:rPr>
              <w:t>майбутньому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Зокрема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посилено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контроль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внутрішніми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процесами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обміном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інформацією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узгодженістю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дій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між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підрозділами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дотриманням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строків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виконання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зобов'язань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Ці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заходи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сприятимуть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своєчасному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розкриттю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відповідно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вимог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чинного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законодавства</w:t>
            </w:r>
            <w:proofErr w:type="spellEnd"/>
            <w:r>
              <w:rPr>
                <w:rStyle w:val="spanrvts0"/>
                <w:lang w:eastAsia="uk"/>
              </w:rPr>
              <w:t>.</w:t>
            </w:r>
          </w:p>
          <w:p w14:paraId="7A4F03ED" w14:textId="4A3CAD39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71C91" w:rsidRPr="00471C91" w14:paraId="77FCB0A5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5B996F3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lastRenderedPageBreak/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7BE0BE97" w14:textId="42134F97" w:rsidR="00471C91" w:rsidRPr="00471C91" w:rsidRDefault="00893A1A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12.12.2024</w:t>
            </w:r>
          </w:p>
        </w:tc>
      </w:tr>
    </w:tbl>
    <w:p w14:paraId="3411ABA5" w14:textId="77777777" w:rsidR="001F75B4" w:rsidRPr="00471C91" w:rsidRDefault="001F75B4">
      <w:pPr>
        <w:rPr>
          <w:lang w:val="ru-RU"/>
        </w:rPr>
      </w:pPr>
    </w:p>
    <w:sectPr w:rsidR="001F75B4" w:rsidRPr="00471C91" w:rsidSect="00893A1A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A"/>
    <w:rsid w:val="0005596A"/>
    <w:rsid w:val="000C77DA"/>
    <w:rsid w:val="001F75B4"/>
    <w:rsid w:val="003A01DC"/>
    <w:rsid w:val="00471C91"/>
    <w:rsid w:val="005069C8"/>
    <w:rsid w:val="005B58F4"/>
    <w:rsid w:val="006E3827"/>
    <w:rsid w:val="00893A1A"/>
    <w:rsid w:val="00AC525F"/>
    <w:rsid w:val="00C97738"/>
    <w:rsid w:val="00CC5AE1"/>
    <w:rsid w:val="00E97C8E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2445"/>
  <w15:chartTrackingRefBased/>
  <w15:docId w15:val="{19B0B9DA-AA33-4D68-AE06-BC9BF60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54;&#1031;%20&#1044;&#1054;&#1050;&#1059;&#1052;&#1045;&#1053;&#1058;&#1048;\&#1030;&#1053;&#1057;&#1040;&#1049;&#1044;&#1045;&#1056;\OI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inf_nsv.dot</Template>
  <TotalTime>1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2024-12-11T14:54:00Z</dcterms:created>
  <dcterms:modified xsi:type="dcterms:W3CDTF">2024-12-11T14:54:00Z</dcterms:modified>
</cp:coreProperties>
</file>